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9F" w:rsidRPr="0053539F" w:rsidRDefault="0053539F" w:rsidP="0053539F">
      <w:pPr>
        <w:jc w:val="center"/>
        <w:rPr>
          <w:rFonts w:ascii="Bell MT" w:eastAsia="Times New Roman" w:hAnsi="Bell MT" w:cs="Times New Roman"/>
          <w:b/>
          <w:sz w:val="48"/>
          <w:szCs w:val="48"/>
          <w:lang w:eastAsia="fr-FR"/>
        </w:rPr>
      </w:pPr>
      <w:r w:rsidRPr="0053539F">
        <w:rPr>
          <w:b/>
          <w:sz w:val="48"/>
          <w:szCs w:val="48"/>
        </w:rPr>
        <w:t xml:space="preserve">Les lycéens de la </w:t>
      </w:r>
      <w:proofErr w:type="spellStart"/>
      <w:r w:rsidRPr="0053539F">
        <w:rPr>
          <w:b/>
          <w:sz w:val="48"/>
          <w:szCs w:val="48"/>
        </w:rPr>
        <w:t>Baugerie</w:t>
      </w:r>
      <w:proofErr w:type="spellEnd"/>
      <w:r w:rsidRPr="0053539F">
        <w:rPr>
          <w:b/>
          <w:sz w:val="48"/>
          <w:szCs w:val="48"/>
        </w:rPr>
        <w:t xml:space="preserve"> partent à la découverte de l’INSERM</w:t>
      </w:r>
      <w:r w:rsidR="002852F4">
        <w:rPr>
          <w:b/>
          <w:sz w:val="48"/>
          <w:szCs w:val="48"/>
        </w:rPr>
        <w:t xml:space="preserve"> UMR 1064</w:t>
      </w:r>
      <w:r w:rsidRPr="0053539F">
        <w:rPr>
          <w:b/>
          <w:sz w:val="48"/>
          <w:szCs w:val="48"/>
        </w:rPr>
        <w:t>.</w:t>
      </w:r>
    </w:p>
    <w:p w:rsidR="0053539F" w:rsidRPr="0053539F" w:rsidRDefault="0053539F" w:rsidP="002852F4">
      <w:pPr>
        <w:pStyle w:val="description"/>
        <w:ind w:firstLine="708"/>
        <w:rPr>
          <w:rFonts w:asciiTheme="minorHAnsi" w:hAnsiTheme="minorHAnsi"/>
        </w:rPr>
      </w:pPr>
      <w:r w:rsidRPr="000811D3">
        <w:rPr>
          <w:rFonts w:asciiTheme="minorHAnsi" w:hAnsiTheme="minorHAnsi"/>
        </w:rPr>
        <w:t>Par une belle matinée de février, la sectio</w:t>
      </w:r>
      <w:r w:rsidR="00556513">
        <w:rPr>
          <w:rFonts w:asciiTheme="minorHAnsi" w:hAnsiTheme="minorHAnsi"/>
        </w:rPr>
        <w:t>n sanitaire et sociale s’est rendue</w:t>
      </w:r>
      <w:r w:rsidRPr="000811D3">
        <w:rPr>
          <w:rFonts w:asciiTheme="minorHAnsi" w:hAnsiTheme="minorHAnsi"/>
        </w:rPr>
        <w:t xml:space="preserve"> au CHU de Nantes. Cette visite avait pour but d’en apprendre davantage sur la greffe de reins en </w:t>
      </w:r>
      <w:r w:rsidR="00556513">
        <w:rPr>
          <w:rFonts w:asciiTheme="minorHAnsi" w:hAnsiTheme="minorHAnsi"/>
        </w:rPr>
        <w:t xml:space="preserve">recueillant des informations en les communiquant </w:t>
      </w:r>
      <w:r w:rsidRPr="000811D3">
        <w:rPr>
          <w:rFonts w:asciiTheme="minorHAnsi" w:hAnsiTheme="minorHAnsi"/>
        </w:rPr>
        <w:t>lors du passeport recherche qui se déroule le 24 mai.</w:t>
      </w:r>
      <w:r w:rsidRPr="000811D3">
        <w:rPr>
          <w:rFonts w:asciiTheme="minorHAnsi" w:hAnsiTheme="minorHAnsi"/>
        </w:rPr>
        <w:br/>
        <w:t xml:space="preserve">Ces informations ont été regroupées en deux catégories : </w:t>
      </w:r>
      <w:r>
        <w:rPr>
          <w:rFonts w:asciiTheme="minorHAnsi" w:hAnsiTheme="minorHAnsi"/>
        </w:rPr>
        <w:br/>
      </w:r>
      <w:r w:rsidRPr="0053539F">
        <w:rPr>
          <w:rFonts w:asciiTheme="minorHAnsi" w:hAnsiTheme="minorHAnsi"/>
          <w:i/>
        </w:rPr>
        <w:t>- Des portraits</w:t>
      </w:r>
      <w:r w:rsidRPr="0053539F">
        <w:rPr>
          <w:rFonts w:asciiTheme="minorHAnsi" w:hAnsiTheme="minorHAnsi"/>
        </w:rPr>
        <w:t> : infirmière, ARC, donneurs et receveurs d’organes.</w:t>
      </w:r>
      <w:r>
        <w:rPr>
          <w:rFonts w:asciiTheme="minorHAnsi" w:hAnsiTheme="minorHAnsi"/>
        </w:rPr>
        <w:br/>
      </w:r>
      <w:r w:rsidRPr="0053539F">
        <w:rPr>
          <w:rFonts w:asciiTheme="minorHAnsi" w:hAnsiTheme="minorHAnsi"/>
          <w:i/>
        </w:rPr>
        <w:t>- Reportages</w:t>
      </w:r>
      <w:r w:rsidRPr="0053539F">
        <w:rPr>
          <w:rFonts w:asciiTheme="minorHAnsi" w:hAnsiTheme="minorHAnsi"/>
        </w:rPr>
        <w:t> : visite du laboratoire, déroulement de la</w:t>
      </w:r>
      <w:r w:rsidRPr="000811D3">
        <w:rPr>
          <w:rFonts w:asciiTheme="minorHAnsi" w:hAnsiTheme="minorHAnsi"/>
        </w:rPr>
        <w:t xml:space="preserve"> greffe.</w:t>
      </w:r>
    </w:p>
    <w:p w:rsidR="000811D3" w:rsidRPr="0053539F" w:rsidRDefault="0053539F" w:rsidP="0053539F">
      <w:pPr>
        <w:rPr>
          <w:b/>
          <w:sz w:val="32"/>
          <w:szCs w:val="32"/>
        </w:rPr>
      </w:pPr>
      <w:r w:rsidRPr="0053539F">
        <w:rPr>
          <w:b/>
          <w:sz w:val="32"/>
          <w:szCs w:val="32"/>
        </w:rPr>
        <w:t>Une visite au</w:t>
      </w:r>
      <w:r w:rsidR="000811D3" w:rsidRPr="0053539F">
        <w:rPr>
          <w:b/>
          <w:sz w:val="32"/>
          <w:szCs w:val="32"/>
        </w:rPr>
        <w:t xml:space="preserve"> laboratoire</w:t>
      </w:r>
      <w:r w:rsidRPr="0053539F">
        <w:rPr>
          <w:b/>
          <w:sz w:val="32"/>
          <w:szCs w:val="32"/>
        </w:rPr>
        <w:t xml:space="preserve"> de Nantes.</w:t>
      </w:r>
    </w:p>
    <w:p w:rsidR="000811D3" w:rsidRPr="0005258D" w:rsidRDefault="000811D3" w:rsidP="00861D2D">
      <w:pPr>
        <w:spacing w:line="240" w:lineRule="auto"/>
        <w:ind w:firstLine="708"/>
        <w:jc w:val="both"/>
        <w:rPr>
          <w:sz w:val="24"/>
          <w:szCs w:val="24"/>
        </w:rPr>
      </w:pPr>
      <w:r w:rsidRPr="0005258D">
        <w:rPr>
          <w:sz w:val="24"/>
          <w:szCs w:val="24"/>
        </w:rPr>
        <w:t>L’INSERM</w:t>
      </w:r>
      <w:r w:rsidR="00861D2D" w:rsidRPr="0005258D">
        <w:rPr>
          <w:sz w:val="24"/>
          <w:szCs w:val="24"/>
        </w:rPr>
        <w:t xml:space="preserve"> de Nantes</w:t>
      </w:r>
      <w:r w:rsidRPr="0005258D">
        <w:rPr>
          <w:sz w:val="24"/>
          <w:szCs w:val="24"/>
        </w:rPr>
        <w:t xml:space="preserve"> est le premier centre</w:t>
      </w:r>
      <w:r w:rsidR="00556513">
        <w:rPr>
          <w:sz w:val="24"/>
          <w:szCs w:val="24"/>
        </w:rPr>
        <w:t xml:space="preserve"> national</w:t>
      </w:r>
      <w:r w:rsidRPr="0005258D">
        <w:rPr>
          <w:sz w:val="24"/>
          <w:szCs w:val="24"/>
        </w:rPr>
        <w:t xml:space="preserve"> de recherche concernant la greffe de rein.</w:t>
      </w:r>
    </w:p>
    <w:p w:rsidR="00861D2D" w:rsidRPr="0005258D" w:rsidRDefault="0005258D" w:rsidP="0005258D">
      <w:pPr>
        <w:spacing w:line="240" w:lineRule="auto"/>
        <w:ind w:firstLine="708"/>
        <w:jc w:val="both"/>
        <w:rPr>
          <w:sz w:val="24"/>
          <w:szCs w:val="24"/>
        </w:rPr>
      </w:pPr>
      <w:r w:rsidRPr="0005258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495300</wp:posOffset>
            </wp:positionV>
            <wp:extent cx="4291330" cy="1508125"/>
            <wp:effectExtent l="19050" t="0" r="0" b="0"/>
            <wp:wrapTight wrapText="bothSides">
              <wp:wrapPolygon edited="0">
                <wp:start x="-96" y="0"/>
                <wp:lineTo x="-96" y="21282"/>
                <wp:lineTo x="21574" y="21282"/>
                <wp:lineTo x="21574" y="0"/>
                <wp:lineTo x="-96" y="0"/>
              </wp:wrapPolygon>
            </wp:wrapTight>
            <wp:docPr id="7" name="Image 5" descr="IMG_0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133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11D3" w:rsidRPr="0005258D">
        <w:rPr>
          <w:sz w:val="24"/>
          <w:szCs w:val="24"/>
        </w:rPr>
        <w:t>Lors de cette visite, nous avons rencontré différents professionnels (chercheur biomédical, infirmière coordinatrice de greffe) qui nous ont présenté leur</w:t>
      </w:r>
      <w:r w:rsidR="00861D2D" w:rsidRPr="0005258D">
        <w:rPr>
          <w:sz w:val="24"/>
          <w:szCs w:val="24"/>
        </w:rPr>
        <w:t>s</w:t>
      </w:r>
      <w:r w:rsidR="000811D3" w:rsidRPr="0005258D">
        <w:rPr>
          <w:sz w:val="24"/>
          <w:szCs w:val="24"/>
        </w:rPr>
        <w:t xml:space="preserve"> salle</w:t>
      </w:r>
      <w:r w:rsidR="00861D2D" w:rsidRPr="0005258D">
        <w:rPr>
          <w:sz w:val="24"/>
          <w:szCs w:val="24"/>
        </w:rPr>
        <w:t>s</w:t>
      </w:r>
      <w:r w:rsidR="0053539F" w:rsidRPr="0005258D">
        <w:rPr>
          <w:sz w:val="24"/>
          <w:szCs w:val="24"/>
        </w:rPr>
        <w:t xml:space="preserve"> de travail. On a commencé par l</w:t>
      </w:r>
      <w:r w:rsidR="000811D3" w:rsidRPr="0005258D">
        <w:rPr>
          <w:sz w:val="24"/>
          <w:szCs w:val="24"/>
        </w:rPr>
        <w:t>a salle blanche</w:t>
      </w:r>
      <w:r w:rsidR="0053539F" w:rsidRPr="0005258D">
        <w:rPr>
          <w:sz w:val="24"/>
          <w:szCs w:val="24"/>
        </w:rPr>
        <w:t xml:space="preserve"> qui</w:t>
      </w:r>
      <w:r w:rsidR="000811D3" w:rsidRPr="0005258D">
        <w:rPr>
          <w:sz w:val="24"/>
          <w:szCs w:val="24"/>
        </w:rPr>
        <w:t xml:space="preserve"> permet de réaliser de nombreuses expériences. Ici, se déro</w:t>
      </w:r>
      <w:r w:rsidR="0053539F" w:rsidRPr="0005258D">
        <w:rPr>
          <w:sz w:val="24"/>
          <w:szCs w:val="24"/>
        </w:rPr>
        <w:t>ulent les prélèvements de sang et</w:t>
      </w:r>
      <w:r w:rsidR="0020198F">
        <w:rPr>
          <w:sz w:val="24"/>
          <w:szCs w:val="24"/>
        </w:rPr>
        <w:t xml:space="preserve"> l’isolement</w:t>
      </w:r>
      <w:r w:rsidR="000811D3" w:rsidRPr="0005258D">
        <w:rPr>
          <w:sz w:val="24"/>
          <w:szCs w:val="24"/>
        </w:rPr>
        <w:t xml:space="preserve"> des globules blancs ainsi que leur analyse.</w:t>
      </w:r>
      <w:r w:rsidR="0053539F" w:rsidRPr="0005258D">
        <w:rPr>
          <w:sz w:val="24"/>
          <w:szCs w:val="24"/>
        </w:rPr>
        <w:t xml:space="preserve"> Puis, on a été</w:t>
      </w:r>
      <w:r w:rsidR="000811D3" w:rsidRPr="0005258D">
        <w:rPr>
          <w:sz w:val="24"/>
          <w:szCs w:val="24"/>
        </w:rPr>
        <w:t xml:space="preserve"> dans la salle noire,  où se trouve un microscope à fluorescence qui permet la mise en évidence de cellules infectées. </w:t>
      </w:r>
      <w:r w:rsidR="00A575B9" w:rsidRPr="0005258D">
        <w:rPr>
          <w:sz w:val="24"/>
          <w:szCs w:val="24"/>
        </w:rPr>
        <w:t xml:space="preserve"> </w:t>
      </w:r>
      <w:r w:rsidR="00861D2D" w:rsidRPr="0005258D">
        <w:rPr>
          <w:sz w:val="24"/>
          <w:szCs w:val="24"/>
        </w:rPr>
        <w:t>Suite à notre visite, nous avons été frappés par l’organisation très méticuleuse du laboratoire.</w:t>
      </w:r>
    </w:p>
    <w:p w:rsidR="0005258D" w:rsidRDefault="0005258D">
      <w:pPr>
        <w:rPr>
          <w:b/>
          <w:sz w:val="32"/>
          <w:szCs w:val="32"/>
        </w:rPr>
      </w:pPr>
      <w:r w:rsidRPr="0005258D">
        <w:rPr>
          <w:b/>
          <w:sz w:val="32"/>
          <w:szCs w:val="32"/>
        </w:rPr>
        <w:t>Rencontre avec les professionnels.</w:t>
      </w:r>
    </w:p>
    <w:p w:rsidR="0053539F" w:rsidRDefault="002852F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5487636</wp:posOffset>
            </wp:positionH>
            <wp:positionV relativeFrom="paragraph">
              <wp:posOffset>1341903</wp:posOffset>
            </wp:positionV>
            <wp:extent cx="1144732" cy="1116281"/>
            <wp:effectExtent l="19050" t="0" r="0" b="0"/>
            <wp:wrapNone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896" t="22839" r="53713" b="23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32" cy="1116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58AB"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5.9pt;margin-top:115pt;width:414.75pt;height:68.25pt;z-index:251670528;mso-position-horizontal-relative:text;mso-position-vertical-relative:text;mso-width-relative:margin;mso-height-relative:margin" strokecolor="white [3212]">
            <v:textbox>
              <w:txbxContent>
                <w:p w:rsidR="0043333A" w:rsidRPr="00C0177B" w:rsidRDefault="0043333A" w:rsidP="00FB3226">
                  <w:pPr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C0177B">
                    <w:rPr>
                      <w:sz w:val="24"/>
                      <w:szCs w:val="24"/>
                    </w:rPr>
                    <w:t xml:space="preserve">Lydie LERAT, Infirmière Coordinatrice de greffes. Elle a pour rôle d’inciter les médecins à informer les patients sur la possibilité des greffes familiales et </w:t>
                  </w:r>
                  <w:r w:rsidR="00556513">
                    <w:rPr>
                      <w:sz w:val="24"/>
                      <w:szCs w:val="24"/>
                    </w:rPr>
                    <w:t xml:space="preserve">de </w:t>
                  </w:r>
                  <w:r w:rsidRPr="00C0177B">
                    <w:rPr>
                      <w:sz w:val="24"/>
                      <w:szCs w:val="24"/>
                    </w:rPr>
                    <w:t>prendre en charge des donneurs potentiels de reins en réalisant des entretiens.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214994</wp:posOffset>
            </wp:positionH>
            <wp:positionV relativeFrom="margin">
              <wp:posOffset>5884223</wp:posOffset>
            </wp:positionV>
            <wp:extent cx="1307176" cy="1282535"/>
            <wp:effectExtent l="19050" t="0" r="7274" b="0"/>
            <wp:wrapNone/>
            <wp:docPr id="2" name="Image 0" descr="AAEAAQAAAAAAAAXBAAAAJDJiMmJhZGY4LTA2ZGEtNDdiMi04MjgzLWE2OWE1NTRhZTE1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EAAQAAAAAAAAXBAAAAJDJiMmJhZGY4LTA2ZGEtNDdiMi04MjgzLWE2OWE1NTRhZTE1N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176" cy="128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8AB">
        <w:rPr>
          <w:b/>
          <w:noProof/>
          <w:sz w:val="32"/>
          <w:szCs w:val="32"/>
        </w:rPr>
        <w:pict>
          <v:shape id="_x0000_s1031" type="#_x0000_t202" style="position:absolute;margin-left:138.65pt;margin-top:.75pt;width:391.95pt;height:92.75pt;z-index:251667456;mso-position-horizontal-relative:text;mso-position-vertical-relative:text;mso-width-relative:margin;mso-height-relative:margin" strokecolor="white [3212]">
            <v:textbox>
              <w:txbxContent>
                <w:p w:rsidR="0043333A" w:rsidRPr="0005258D" w:rsidRDefault="0043333A" w:rsidP="00FB3226">
                  <w:pPr>
                    <w:ind w:firstLine="708"/>
                    <w:jc w:val="both"/>
                    <w:rPr>
                      <w:sz w:val="24"/>
                      <w:szCs w:val="24"/>
                    </w:rPr>
                  </w:pPr>
                  <w:r w:rsidRPr="0005258D">
                    <w:rPr>
                      <w:sz w:val="24"/>
                      <w:szCs w:val="24"/>
                    </w:rPr>
                    <w:t>Pierrick</w:t>
                  </w:r>
                  <w:r>
                    <w:rPr>
                      <w:sz w:val="24"/>
                      <w:szCs w:val="24"/>
                    </w:rPr>
                    <w:t xml:space="preserve"> GUERRIF</w:t>
                  </w:r>
                  <w:r w:rsidRPr="0005258D">
                    <w:rPr>
                      <w:sz w:val="24"/>
                      <w:szCs w:val="24"/>
                    </w:rPr>
                    <w:t xml:space="preserve">, Attaché de Recherche Clinique (ARC) au CHU de Nantes. Il est chargé de </w:t>
                  </w:r>
                  <w:r w:rsidRPr="0005258D">
                    <w:rPr>
                      <w:rFonts w:cs="Arial"/>
                      <w:sz w:val="24"/>
                      <w:szCs w:val="24"/>
                    </w:rPr>
                    <w:t>découvrir des moyens pour améliorer la prise en charge et le traitement des pathologies, notamment par le biais d’essais cliniques (</w:t>
                  </w:r>
                  <w:r w:rsidRPr="0005258D">
                    <w:rPr>
                      <w:sz w:val="24"/>
                      <w:szCs w:val="24"/>
                    </w:rPr>
                    <w:t>étude statistique effectuée pour prouver la validité d'un traitement)</w:t>
                  </w:r>
                  <w:r w:rsidRPr="0005258D">
                    <w:rPr>
                      <w:rFonts w:cs="Arial"/>
                      <w:sz w:val="24"/>
                      <w:szCs w:val="24"/>
                    </w:rPr>
                    <w:t>.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 w:rsidRPr="00C0177B">
                    <w:rPr>
                      <w:rFonts w:cs="Arial"/>
                      <w:sz w:val="24"/>
                      <w:szCs w:val="24"/>
                    </w:rPr>
                    <w:t xml:space="preserve">Pour cela, </w:t>
                  </w:r>
                  <w:r w:rsidRPr="00C0177B">
                    <w:rPr>
                      <w:sz w:val="24"/>
                      <w:szCs w:val="24"/>
                    </w:rPr>
                    <w:t>il coordonne une bio collection d’échantillons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 w:rsidR="0053539F" w:rsidRPr="0005258D">
        <w:rPr>
          <w:b/>
          <w:sz w:val="32"/>
          <w:szCs w:val="32"/>
        </w:rPr>
        <w:br w:type="page"/>
      </w:r>
    </w:p>
    <w:p w:rsidR="00C0177B" w:rsidRDefault="002852F4">
      <w:pPr>
        <w:rPr>
          <w:rFonts w:eastAsia="Times New Roman" w:cs="Times New Roman"/>
          <w:b/>
          <w:sz w:val="32"/>
          <w:szCs w:val="32"/>
          <w:lang w:eastAsia="fr-FR"/>
        </w:rPr>
      </w:pPr>
      <w:r>
        <w:rPr>
          <w:rFonts w:eastAsia="Times New Roman" w:cs="Times New Roman"/>
          <w:b/>
          <w:sz w:val="32"/>
          <w:szCs w:val="32"/>
          <w:lang w:eastAsia="fr-FR"/>
        </w:rPr>
        <w:lastRenderedPageBreak/>
        <w:t>La greffe en bref.</w:t>
      </w:r>
    </w:p>
    <w:p w:rsidR="00BF4629" w:rsidRPr="0043333A" w:rsidRDefault="00BF4629" w:rsidP="00FB3226">
      <w:pPr>
        <w:jc w:val="both"/>
        <w:rPr>
          <w:rFonts w:eastAsia="Times New Roman" w:cs="Times New Roman"/>
          <w:b/>
          <w:i/>
          <w:sz w:val="28"/>
          <w:szCs w:val="28"/>
          <w:lang w:eastAsia="fr-FR"/>
        </w:rPr>
      </w:pPr>
      <w:r w:rsidRPr="0043333A">
        <w:rPr>
          <w:rFonts w:eastAsia="Times New Roman" w:cs="Times New Roman"/>
          <w:b/>
          <w:i/>
          <w:sz w:val="28"/>
          <w:szCs w:val="28"/>
          <w:lang w:eastAsia="fr-FR"/>
        </w:rPr>
        <w:t>Du côté du donneur</w:t>
      </w:r>
    </w:p>
    <w:p w:rsidR="00BF4629" w:rsidRPr="0043333A" w:rsidRDefault="00BF4629" w:rsidP="00FB3226">
      <w:pPr>
        <w:ind w:firstLine="708"/>
        <w:jc w:val="both"/>
        <w:rPr>
          <w:sz w:val="24"/>
          <w:szCs w:val="24"/>
        </w:rPr>
      </w:pPr>
      <w:r w:rsidRPr="0043333A">
        <w:rPr>
          <w:sz w:val="24"/>
          <w:szCs w:val="24"/>
        </w:rPr>
        <w:t xml:space="preserve">Le donneur peut être  vivant ou décédé. </w:t>
      </w:r>
    </w:p>
    <w:p w:rsidR="00FB3226" w:rsidRDefault="00BF4629" w:rsidP="00FB3226">
      <w:pPr>
        <w:ind w:firstLine="708"/>
        <w:jc w:val="both"/>
        <w:rPr>
          <w:sz w:val="24"/>
          <w:szCs w:val="24"/>
        </w:rPr>
      </w:pPr>
      <w:r w:rsidRPr="0043333A">
        <w:rPr>
          <w:sz w:val="24"/>
          <w:szCs w:val="24"/>
        </w:rPr>
        <w:t>Vivant, il peut prendre la décision d’offrir un rein pour le bien être d’un proche</w:t>
      </w:r>
      <w:r w:rsidR="0020198F">
        <w:rPr>
          <w:sz w:val="24"/>
          <w:szCs w:val="24"/>
        </w:rPr>
        <w:t xml:space="preserve">. Seulement si </w:t>
      </w:r>
      <w:r w:rsidRPr="0043333A">
        <w:rPr>
          <w:sz w:val="24"/>
          <w:szCs w:val="24"/>
        </w:rPr>
        <w:t>un lien d’amitié de plus de deux ans</w:t>
      </w:r>
      <w:r w:rsidR="0020198F">
        <w:rPr>
          <w:sz w:val="24"/>
          <w:szCs w:val="24"/>
        </w:rPr>
        <w:t xml:space="preserve"> est établi</w:t>
      </w:r>
      <w:r w:rsidRPr="0043333A">
        <w:rPr>
          <w:sz w:val="24"/>
          <w:szCs w:val="24"/>
        </w:rPr>
        <w:t xml:space="preserve">. Il faut qu’il soit en bonne </w:t>
      </w:r>
      <w:r w:rsidR="00556513">
        <w:rPr>
          <w:sz w:val="24"/>
          <w:szCs w:val="24"/>
        </w:rPr>
        <w:t>santé avec un groupe sanguin compatible</w:t>
      </w:r>
      <w:r w:rsidRPr="0043333A">
        <w:rPr>
          <w:sz w:val="24"/>
          <w:szCs w:val="24"/>
        </w:rPr>
        <w:t xml:space="preserve"> et être âgé de 18 à 75 ans. </w:t>
      </w:r>
    </w:p>
    <w:p w:rsidR="0043333A" w:rsidRPr="0043333A" w:rsidRDefault="0043333A" w:rsidP="00FB3226">
      <w:pPr>
        <w:ind w:firstLine="708"/>
        <w:jc w:val="both"/>
        <w:rPr>
          <w:sz w:val="24"/>
          <w:szCs w:val="24"/>
        </w:rPr>
      </w:pPr>
      <w:r w:rsidRPr="0043333A">
        <w:rPr>
          <w:sz w:val="24"/>
          <w:szCs w:val="24"/>
        </w:rPr>
        <w:t>Décédé, le donneur restera anonyme.</w:t>
      </w:r>
    </w:p>
    <w:p w:rsidR="0043333A" w:rsidRPr="0043333A" w:rsidRDefault="0043333A" w:rsidP="00FB3226">
      <w:pPr>
        <w:jc w:val="both"/>
        <w:rPr>
          <w:rFonts w:eastAsia="Times New Roman" w:cs="Times New Roman"/>
          <w:b/>
          <w:i/>
          <w:sz w:val="28"/>
          <w:szCs w:val="28"/>
          <w:lang w:eastAsia="fr-FR"/>
        </w:rPr>
      </w:pPr>
      <w:r w:rsidRPr="0043333A">
        <w:rPr>
          <w:rFonts w:eastAsia="Times New Roman" w:cs="Times New Roman"/>
          <w:b/>
          <w:i/>
          <w:sz w:val="28"/>
          <w:szCs w:val="28"/>
          <w:lang w:eastAsia="fr-FR"/>
        </w:rPr>
        <w:t>Du côté du receveur</w:t>
      </w:r>
    </w:p>
    <w:p w:rsidR="0043333A" w:rsidRDefault="0043333A" w:rsidP="00FB3226">
      <w:pPr>
        <w:pStyle w:val="normal0"/>
        <w:spacing w:line="240" w:lineRule="auto"/>
        <w:ind w:firstLine="708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  <w:r w:rsidRPr="0043333A">
        <w:rPr>
          <w:rFonts w:asciiTheme="minorHAnsi" w:eastAsia="Times New Roman" w:hAnsiTheme="minorHAnsi" w:cs="Times New Roman"/>
          <w:color w:val="auto"/>
          <w:sz w:val="24"/>
          <w:szCs w:val="24"/>
        </w:rPr>
        <w:t>Le receveur est un patient au stade d’insuffisance rénale terminale dialysé ou non.</w:t>
      </w:r>
      <w:r w:rsidRPr="0043333A">
        <w:rPr>
          <w:rFonts w:asciiTheme="minorHAnsi" w:hAnsiTheme="minorHAnsi"/>
          <w:noProof/>
          <w:color w:val="auto"/>
          <w:sz w:val="24"/>
          <w:szCs w:val="24"/>
        </w:rPr>
        <w:t xml:space="preserve"> </w:t>
      </w:r>
      <w:r w:rsidRPr="0043333A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Il doit subir un bilan complet physiologique et psychologique. Par la suite, il sera inscrit sur </w:t>
      </w:r>
      <w:r w:rsidRPr="0043333A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la liste nationale des</w:t>
      </w:r>
      <w:r w:rsidRPr="0043333A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</w:t>
      </w:r>
      <w:r w:rsidRPr="0043333A">
        <w:rPr>
          <w:rFonts w:asciiTheme="minorHAnsi" w:eastAsia="Times New Roman" w:hAnsiTheme="minorHAnsi" w:cs="Times New Roman"/>
          <w:b/>
          <w:color w:val="auto"/>
          <w:sz w:val="24"/>
          <w:szCs w:val="24"/>
        </w:rPr>
        <w:t>receveurs</w:t>
      </w:r>
      <w:r w:rsidRPr="0043333A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en attente d’un rein. Cette </w:t>
      </w: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>attente peut varier de 6 mois à</w:t>
      </w:r>
      <w:r w:rsidRPr="0043333A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5 ans. </w:t>
      </w:r>
      <w:r>
        <w:rPr>
          <w:rFonts w:asciiTheme="minorHAnsi" w:eastAsia="Times New Roman" w:hAnsiTheme="minorHAnsi" w:cs="Times New Roman"/>
          <w:color w:val="auto"/>
          <w:sz w:val="24"/>
          <w:szCs w:val="24"/>
        </w:rPr>
        <w:t>C’est pourquoi, le patient doit</w:t>
      </w:r>
      <w:r w:rsidRPr="0043333A">
        <w:rPr>
          <w:rFonts w:asciiTheme="minorHAnsi" w:eastAsia="Times New Roman" w:hAnsiTheme="minorHAnsi" w:cs="Times New Roman"/>
          <w:color w:val="auto"/>
          <w:sz w:val="24"/>
          <w:szCs w:val="24"/>
        </w:rPr>
        <w:t xml:space="preserve"> être disponible à n’importe quel moment. </w:t>
      </w:r>
    </w:p>
    <w:p w:rsidR="0043333A" w:rsidRPr="0043333A" w:rsidRDefault="0043333A" w:rsidP="00FB3226">
      <w:pPr>
        <w:pStyle w:val="normal0"/>
        <w:spacing w:line="240" w:lineRule="auto"/>
        <w:jc w:val="both"/>
        <w:rPr>
          <w:rFonts w:asciiTheme="minorHAnsi" w:eastAsia="Times New Roman" w:hAnsiTheme="minorHAnsi" w:cs="Times New Roman"/>
          <w:color w:val="auto"/>
          <w:sz w:val="24"/>
          <w:szCs w:val="24"/>
        </w:rPr>
      </w:pPr>
    </w:p>
    <w:p w:rsidR="0043333A" w:rsidRPr="0043333A" w:rsidRDefault="0043333A" w:rsidP="00FB3226">
      <w:pPr>
        <w:spacing w:after="0" w:line="360" w:lineRule="auto"/>
        <w:jc w:val="both"/>
        <w:rPr>
          <w:rFonts w:cs="Arial"/>
          <w:b/>
          <w:i/>
          <w:sz w:val="28"/>
          <w:szCs w:val="28"/>
        </w:rPr>
      </w:pPr>
      <w:r w:rsidRPr="0043333A">
        <w:rPr>
          <w:rFonts w:cs="Arial"/>
          <w:b/>
          <w:i/>
          <w:sz w:val="28"/>
          <w:szCs w:val="28"/>
        </w:rPr>
        <w:t xml:space="preserve">Pendant la greffe </w:t>
      </w:r>
    </w:p>
    <w:p w:rsidR="0043333A" w:rsidRDefault="0043333A" w:rsidP="00FB3226">
      <w:pPr>
        <w:ind w:firstLine="708"/>
        <w:jc w:val="both"/>
        <w:rPr>
          <w:rFonts w:cs="Arial"/>
          <w:sz w:val="24"/>
          <w:szCs w:val="24"/>
        </w:rPr>
      </w:pPr>
      <w:r w:rsidRPr="0043333A">
        <w:rPr>
          <w:rFonts w:cs="Arial"/>
          <w:sz w:val="24"/>
          <w:szCs w:val="24"/>
        </w:rPr>
        <w:t>La transplantation rénale dure en moyenne 2 heures</w:t>
      </w:r>
      <w:r w:rsidR="00556513">
        <w:rPr>
          <w:rFonts w:cs="Arial"/>
          <w:sz w:val="24"/>
          <w:szCs w:val="24"/>
        </w:rPr>
        <w:t xml:space="preserve"> pendant lesquelles le patient est anesthésié</w:t>
      </w:r>
      <w:r w:rsidRPr="0043333A">
        <w:rPr>
          <w:rFonts w:cs="Arial"/>
          <w:sz w:val="24"/>
          <w:szCs w:val="24"/>
        </w:rPr>
        <w:t>. Le greffon est placé au niveau de l’aine</w:t>
      </w:r>
      <w:r>
        <w:rPr>
          <w:rFonts w:cs="Arial"/>
          <w:sz w:val="24"/>
          <w:szCs w:val="24"/>
        </w:rPr>
        <w:t xml:space="preserve"> et raccordé à la vessie, </w:t>
      </w:r>
      <w:r w:rsidRPr="0043333A">
        <w:rPr>
          <w:rFonts w:cs="Arial"/>
          <w:sz w:val="24"/>
          <w:szCs w:val="24"/>
        </w:rPr>
        <w:t xml:space="preserve">le rein défaillant n’est pas </w:t>
      </w:r>
      <w:r>
        <w:rPr>
          <w:rFonts w:cs="Arial"/>
          <w:sz w:val="24"/>
          <w:szCs w:val="24"/>
        </w:rPr>
        <w:t>obligatoirement</w:t>
      </w:r>
      <w:r w:rsidRPr="0043333A">
        <w:rPr>
          <w:rFonts w:cs="Arial"/>
          <w:sz w:val="24"/>
          <w:szCs w:val="24"/>
        </w:rPr>
        <w:t xml:space="preserve"> enlevé. Cet endroit est choisi pour sa facilité d</w:t>
      </w:r>
      <w:r>
        <w:rPr>
          <w:rFonts w:cs="Arial"/>
          <w:sz w:val="24"/>
          <w:szCs w:val="24"/>
        </w:rPr>
        <w:t xml:space="preserve">’accès aux vaisseaux sanguins. </w:t>
      </w:r>
    </w:p>
    <w:p w:rsidR="0043333A" w:rsidRPr="0043333A" w:rsidRDefault="0043333A" w:rsidP="00FB3226">
      <w:pPr>
        <w:jc w:val="both"/>
        <w:rPr>
          <w:rFonts w:cs="Arial"/>
          <w:b/>
          <w:i/>
          <w:sz w:val="28"/>
          <w:szCs w:val="28"/>
        </w:rPr>
      </w:pPr>
      <w:r w:rsidRPr="0043333A">
        <w:rPr>
          <w:rFonts w:cs="Arial"/>
          <w:b/>
          <w:i/>
          <w:sz w:val="28"/>
          <w:szCs w:val="28"/>
        </w:rPr>
        <w:t>Après la greffe</w:t>
      </w:r>
    </w:p>
    <w:p w:rsidR="0043333A" w:rsidRPr="00FB3226" w:rsidRDefault="0043333A" w:rsidP="00FB3226">
      <w:pPr>
        <w:ind w:firstLine="708"/>
        <w:jc w:val="both"/>
        <w:rPr>
          <w:rFonts w:cs="Arial"/>
          <w:sz w:val="24"/>
          <w:szCs w:val="24"/>
        </w:rPr>
      </w:pPr>
      <w:r w:rsidRPr="0043333A">
        <w:rPr>
          <w:rFonts w:cs="Arial"/>
          <w:sz w:val="24"/>
          <w:szCs w:val="24"/>
        </w:rPr>
        <w:t>Après 8</w:t>
      </w:r>
      <w:r>
        <w:rPr>
          <w:rFonts w:cs="Arial"/>
          <w:sz w:val="24"/>
          <w:szCs w:val="24"/>
        </w:rPr>
        <w:t xml:space="preserve"> à 10 jours d’hospitalisation, le patient</w:t>
      </w:r>
      <w:r w:rsidRPr="0043333A">
        <w:rPr>
          <w:rFonts w:cs="Arial"/>
          <w:sz w:val="24"/>
          <w:szCs w:val="24"/>
        </w:rPr>
        <w:t xml:space="preserve"> est apte </w:t>
      </w:r>
      <w:r w:rsidR="00FB3226">
        <w:rPr>
          <w:rFonts w:cs="Arial"/>
          <w:sz w:val="24"/>
          <w:szCs w:val="24"/>
        </w:rPr>
        <w:t xml:space="preserve">à retrouver sa vie quotidienne et bénéficie d’un suivi de </w:t>
      </w:r>
      <w:r w:rsidRPr="0043333A">
        <w:rPr>
          <w:rFonts w:cs="Arial"/>
          <w:sz w:val="24"/>
          <w:szCs w:val="24"/>
        </w:rPr>
        <w:t>l’équipe médicale</w:t>
      </w:r>
      <w:r w:rsidR="00FB3226">
        <w:rPr>
          <w:rFonts w:cs="Arial"/>
          <w:sz w:val="24"/>
          <w:szCs w:val="24"/>
        </w:rPr>
        <w:t xml:space="preserve">. Un </w:t>
      </w:r>
      <w:r w:rsidR="00FB3226" w:rsidRPr="0043333A">
        <w:rPr>
          <w:rFonts w:cs="Arial"/>
          <w:sz w:val="24"/>
          <w:szCs w:val="24"/>
        </w:rPr>
        <w:t xml:space="preserve">traitement </w:t>
      </w:r>
      <w:proofErr w:type="spellStart"/>
      <w:r w:rsidR="00FB3226" w:rsidRPr="0043333A">
        <w:rPr>
          <w:rFonts w:cs="Arial"/>
          <w:sz w:val="24"/>
          <w:szCs w:val="24"/>
        </w:rPr>
        <w:t>anti-rejet</w:t>
      </w:r>
      <w:proofErr w:type="spellEnd"/>
      <w:r w:rsidR="00556513">
        <w:rPr>
          <w:rFonts w:cs="Arial"/>
          <w:sz w:val="24"/>
          <w:szCs w:val="24"/>
        </w:rPr>
        <w:t xml:space="preserve"> lui est prescrit</w:t>
      </w:r>
      <w:r w:rsidR="00FB3226">
        <w:rPr>
          <w:rFonts w:cs="Arial"/>
          <w:sz w:val="24"/>
          <w:szCs w:val="24"/>
        </w:rPr>
        <w:t xml:space="preserve"> à vie. Ainsi que des règles à respecter telles que</w:t>
      </w:r>
      <w:r w:rsidR="00FB3226" w:rsidRPr="00FB3226">
        <w:rPr>
          <w:rFonts w:cs="Arial"/>
        </w:rPr>
        <w:t xml:space="preserve"> </w:t>
      </w:r>
      <w:r w:rsidR="00FB3226">
        <w:rPr>
          <w:rFonts w:cs="Arial"/>
        </w:rPr>
        <w:t>la pratique d’une activité physique régulière ou encore l’absence de consommation de tabac.</w:t>
      </w:r>
    </w:p>
    <w:p w:rsidR="0043333A" w:rsidRPr="0043333A" w:rsidRDefault="0043333A" w:rsidP="0043333A">
      <w:pPr>
        <w:jc w:val="both"/>
        <w:rPr>
          <w:rFonts w:cs="Arial"/>
          <w:sz w:val="24"/>
          <w:szCs w:val="24"/>
        </w:rPr>
      </w:pPr>
    </w:p>
    <w:p w:rsidR="00A83AE1" w:rsidRPr="00A83AE1" w:rsidRDefault="00A83AE1" w:rsidP="00A83AE1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 w:rsidRPr="00A83AE1">
        <w:rPr>
          <w:sz w:val="24"/>
          <w:szCs w:val="24"/>
        </w:rPr>
        <w:t>En conclusion, diverses opinions ressortent sur le passeport recherche pour les classes de STSS. La visite du laboratoire ainsi que les informations fournies par les chercheurs ont satisfait de nombreu</w:t>
      </w:r>
      <w:r w:rsidR="0020198F">
        <w:rPr>
          <w:sz w:val="24"/>
          <w:szCs w:val="24"/>
        </w:rPr>
        <w:t xml:space="preserve">x élèves. Elles nous ont permis </w:t>
      </w:r>
      <w:r w:rsidRPr="00A83AE1">
        <w:rPr>
          <w:sz w:val="24"/>
          <w:szCs w:val="24"/>
        </w:rPr>
        <w:t>de découvrir les rôles des différents professionnels (chercheurs, infirmières…) et l’organisation d’un laboratoire spécialisé dans les greffes de reins.</w:t>
      </w:r>
    </w:p>
    <w:p w:rsidR="00A83AE1" w:rsidRPr="00A83AE1" w:rsidRDefault="00A83AE1" w:rsidP="00A83AE1">
      <w:pPr>
        <w:spacing w:after="0"/>
        <w:rPr>
          <w:sz w:val="24"/>
          <w:szCs w:val="24"/>
        </w:rPr>
      </w:pPr>
      <w:r w:rsidRPr="00A83AE1">
        <w:rPr>
          <w:sz w:val="24"/>
          <w:szCs w:val="24"/>
        </w:rPr>
        <w:t>Nous aurions souhaité un témoignage</w:t>
      </w:r>
      <w:r w:rsidR="0020198F">
        <w:rPr>
          <w:sz w:val="24"/>
          <w:szCs w:val="24"/>
        </w:rPr>
        <w:t xml:space="preserve"> d’un receveur ou d’un donneur, mais ce sera une autre aventure.</w:t>
      </w:r>
    </w:p>
    <w:p w:rsidR="00A83AE1" w:rsidRPr="00A83AE1" w:rsidRDefault="00A83AE1" w:rsidP="0005258D">
      <w:pPr>
        <w:pStyle w:val="description"/>
        <w:rPr>
          <w:rFonts w:asciiTheme="minorHAnsi" w:hAnsiTheme="minorHAnsi"/>
          <w:sz w:val="22"/>
          <w:szCs w:val="22"/>
        </w:rPr>
      </w:pPr>
    </w:p>
    <w:sectPr w:rsidR="00A83AE1" w:rsidRPr="00A83AE1" w:rsidSect="000525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B6ACB"/>
    <w:multiLevelType w:val="hybridMultilevel"/>
    <w:tmpl w:val="1BA29146"/>
    <w:lvl w:ilvl="0" w:tplc="C5F4950A"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95BF2"/>
    <w:multiLevelType w:val="multilevel"/>
    <w:tmpl w:val="2DF4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59D5"/>
    <w:rsid w:val="0005258D"/>
    <w:rsid w:val="000811D3"/>
    <w:rsid w:val="001650A2"/>
    <w:rsid w:val="001B0B51"/>
    <w:rsid w:val="0020198F"/>
    <w:rsid w:val="002852F4"/>
    <w:rsid w:val="003B48FA"/>
    <w:rsid w:val="0043333A"/>
    <w:rsid w:val="0053539F"/>
    <w:rsid w:val="00556513"/>
    <w:rsid w:val="006159D5"/>
    <w:rsid w:val="0074462D"/>
    <w:rsid w:val="00746549"/>
    <w:rsid w:val="00861D2D"/>
    <w:rsid w:val="008B511A"/>
    <w:rsid w:val="008C13A8"/>
    <w:rsid w:val="00943E1F"/>
    <w:rsid w:val="00996392"/>
    <w:rsid w:val="00A575B9"/>
    <w:rsid w:val="00A83AE1"/>
    <w:rsid w:val="00AA7402"/>
    <w:rsid w:val="00AF7AF3"/>
    <w:rsid w:val="00B5361A"/>
    <w:rsid w:val="00BF4629"/>
    <w:rsid w:val="00C0177B"/>
    <w:rsid w:val="00C12B0D"/>
    <w:rsid w:val="00CC1D24"/>
    <w:rsid w:val="00DA58AB"/>
    <w:rsid w:val="00DB16BB"/>
    <w:rsid w:val="00E7441E"/>
    <w:rsid w:val="00F324C9"/>
    <w:rsid w:val="00FB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59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5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59D5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Normal"/>
    <w:rsid w:val="00B53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811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811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0">
    <w:name w:val="normal"/>
    <w:rsid w:val="00BF4629"/>
    <w:pPr>
      <w:spacing w:after="0"/>
    </w:pPr>
    <w:rPr>
      <w:rFonts w:ascii="Arial" w:eastAsia="Arial" w:hAnsi="Arial" w:cs="Arial"/>
      <w:color w:val="00000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9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19845-9CB0-4476-847A-555D592C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Lycee Baugerie</dc:creator>
  <cp:lastModifiedBy>npineau</cp:lastModifiedBy>
  <cp:revision>5</cp:revision>
  <cp:lastPrinted>2016-03-03T10:30:00Z</cp:lastPrinted>
  <dcterms:created xsi:type="dcterms:W3CDTF">2016-05-12T09:05:00Z</dcterms:created>
  <dcterms:modified xsi:type="dcterms:W3CDTF">2016-05-17T15:45:00Z</dcterms:modified>
</cp:coreProperties>
</file>